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54BE" w:rsidRPr="001766C0" w:rsidRDefault="007A10C4" w:rsidP="001766C0">
      <w:pPr>
        <w:spacing w:line="276" w:lineRule="auto"/>
        <w:ind w:left="284"/>
        <w:rPr>
          <w:b/>
          <w:sz w:val="24"/>
          <w:szCs w:val="24"/>
        </w:rPr>
      </w:pPr>
      <w:r w:rsidRPr="001766C0">
        <w:rPr>
          <w:b/>
          <w:sz w:val="24"/>
          <w:szCs w:val="24"/>
        </w:rPr>
        <w:t>Notatka dot. nadzoru nad przemysłem obronnym</w:t>
      </w:r>
    </w:p>
    <w:p w:rsidR="007A10C4" w:rsidRPr="001766C0" w:rsidRDefault="007A10C4" w:rsidP="001766C0">
      <w:pPr>
        <w:pStyle w:val="Akapitzlist"/>
        <w:numPr>
          <w:ilvl w:val="0"/>
          <w:numId w:val="3"/>
        </w:numPr>
        <w:spacing w:line="276" w:lineRule="auto"/>
        <w:ind w:left="284" w:firstLine="0"/>
        <w:rPr>
          <w:sz w:val="24"/>
          <w:szCs w:val="24"/>
        </w:rPr>
      </w:pPr>
      <w:r w:rsidRPr="001766C0">
        <w:rPr>
          <w:b/>
          <w:sz w:val="24"/>
          <w:szCs w:val="24"/>
        </w:rPr>
        <w:t>W większości państw rozwiniętych, nadzór nad państwowymi spółkami przemysłu obronnego jest sprawowany przez resorty posiadające kompetencje z zakresu ekonomii, finansów publicznych i/lub zarządzania spółkami.</w:t>
      </w:r>
      <w:r w:rsidRPr="001766C0">
        <w:rPr>
          <w:sz w:val="24"/>
          <w:szCs w:val="24"/>
        </w:rPr>
        <w:t xml:space="preserve"> Przykładowe modele nadzoru nad tego typu spółkami pokazuje Tabela 1.</w:t>
      </w:r>
    </w:p>
    <w:p w:rsidR="00585A71" w:rsidRPr="001766C0" w:rsidRDefault="00585A71" w:rsidP="001766C0">
      <w:pPr>
        <w:pStyle w:val="Akapitzlist"/>
        <w:numPr>
          <w:ilvl w:val="0"/>
          <w:numId w:val="3"/>
        </w:numPr>
        <w:spacing w:line="276" w:lineRule="auto"/>
        <w:ind w:left="284" w:firstLine="0"/>
        <w:rPr>
          <w:sz w:val="24"/>
          <w:szCs w:val="24"/>
        </w:rPr>
      </w:pPr>
      <w:r w:rsidRPr="001766C0">
        <w:rPr>
          <w:sz w:val="24"/>
          <w:szCs w:val="24"/>
        </w:rPr>
        <w:t>Przemysł obronny to bardzo specyficzna i ściśle regulowana branża, wymagająca skoordynowanej współpracy resortów właściwych ds. gospodarki, obronności (m.in. wsparcie sił zbrojnych w promowaniu wyrobów przemysłu obronnego), nauki czy spraw zagranicznych. Każdy z nich powinien mieć wpływ na kształt państwowego sektora zbrojeniowego, niemniej zarządzanie spółkami powinien zapewniać resort wyspecjalizowany w kwestiach gospodarczych.</w:t>
      </w:r>
    </w:p>
    <w:p w:rsidR="00585A71" w:rsidRPr="001766C0" w:rsidRDefault="00585A71" w:rsidP="001766C0">
      <w:pPr>
        <w:pStyle w:val="Akapitzlist"/>
        <w:numPr>
          <w:ilvl w:val="0"/>
          <w:numId w:val="3"/>
        </w:numPr>
        <w:spacing w:line="276" w:lineRule="auto"/>
        <w:ind w:left="284" w:firstLine="0"/>
        <w:rPr>
          <w:sz w:val="24"/>
          <w:szCs w:val="24"/>
        </w:rPr>
      </w:pPr>
      <w:r w:rsidRPr="001766C0">
        <w:rPr>
          <w:sz w:val="24"/>
          <w:szCs w:val="24"/>
        </w:rPr>
        <w:t>Nadzór resortu właściwego ds. obronności nad spółkami przemysłowymi prowadzi do podporządkowania działalności biznesowej wyłącznym interesom sił zbrojnych, co skutecznie uniemożliwia rozwijanie działalności eksportowej, a w konsekwencji, zwiększanie środków na inwestycje, w tym w działalność badawczo-rozwojową.</w:t>
      </w:r>
    </w:p>
    <w:p w:rsidR="00585A71" w:rsidRPr="001766C0" w:rsidRDefault="00154914" w:rsidP="001766C0">
      <w:pPr>
        <w:pStyle w:val="Akapitzlist"/>
        <w:numPr>
          <w:ilvl w:val="0"/>
          <w:numId w:val="3"/>
        </w:numPr>
        <w:spacing w:line="276" w:lineRule="auto"/>
        <w:ind w:left="284" w:firstLine="0"/>
        <w:rPr>
          <w:sz w:val="24"/>
          <w:szCs w:val="24"/>
        </w:rPr>
      </w:pPr>
      <w:r>
        <w:rPr>
          <w:sz w:val="24"/>
          <w:szCs w:val="24"/>
        </w:rPr>
        <w:t>Objęcie</w:t>
      </w:r>
      <w:bookmarkStart w:id="0" w:name="_GoBack"/>
      <w:bookmarkEnd w:id="0"/>
      <w:r w:rsidR="00585A71" w:rsidRPr="001766C0">
        <w:rPr>
          <w:sz w:val="24"/>
          <w:szCs w:val="24"/>
        </w:rPr>
        <w:t xml:space="preserve"> nadzoru właścicielskiego nad Polską Grupą Zbrojeniową przez Ministerstwo Obrony Narodowej w latach 2015-2019 dowiodło, iż układ, w którym jeden resort ma decydujący wpływ zarówno na zamawiającego (Siły Zbrojne RP), jak i wytwórcę dużej części uzbrojenia (PGZ), nie jest efektywny. Nie doprowadził on ani do szybszego wypełniania potrzeb zbrojeniowych SZ RP, ani nie polepszył ogólnej sytuacji biznesowej Grupy i jej spółek składowych. </w:t>
      </w:r>
      <w:r w:rsidR="00697FF6" w:rsidRPr="001766C0">
        <w:rPr>
          <w:sz w:val="24"/>
          <w:szCs w:val="24"/>
        </w:rPr>
        <w:t>W opisywanym okresie</w:t>
      </w:r>
      <w:r w:rsidR="00585A71" w:rsidRPr="001766C0">
        <w:rPr>
          <w:sz w:val="24"/>
          <w:szCs w:val="24"/>
        </w:rPr>
        <w:t>:</w:t>
      </w:r>
    </w:p>
    <w:p w:rsidR="00697FF6" w:rsidRPr="001766C0" w:rsidRDefault="00697FF6" w:rsidP="001766C0">
      <w:pPr>
        <w:pStyle w:val="Akapitzlist"/>
        <w:numPr>
          <w:ilvl w:val="1"/>
          <w:numId w:val="3"/>
        </w:numPr>
        <w:spacing w:line="276" w:lineRule="auto"/>
        <w:ind w:left="1276" w:hanging="567"/>
        <w:rPr>
          <w:sz w:val="24"/>
          <w:szCs w:val="24"/>
        </w:rPr>
      </w:pPr>
      <w:r w:rsidRPr="001766C0">
        <w:rPr>
          <w:sz w:val="24"/>
          <w:szCs w:val="24"/>
        </w:rPr>
        <w:t>nie zatwierdzono żadnej strategii rozwojowej Grupy;</w:t>
      </w:r>
    </w:p>
    <w:p w:rsidR="00697FF6" w:rsidRPr="001766C0" w:rsidRDefault="00697FF6" w:rsidP="001766C0">
      <w:pPr>
        <w:pStyle w:val="Akapitzlist"/>
        <w:numPr>
          <w:ilvl w:val="1"/>
          <w:numId w:val="3"/>
        </w:numPr>
        <w:spacing w:line="276" w:lineRule="auto"/>
        <w:ind w:left="1276" w:hanging="567"/>
        <w:rPr>
          <w:sz w:val="24"/>
          <w:szCs w:val="24"/>
        </w:rPr>
      </w:pPr>
      <w:r w:rsidRPr="001766C0">
        <w:rPr>
          <w:sz w:val="24"/>
          <w:szCs w:val="24"/>
        </w:rPr>
        <w:t>nie dokończono konsolidacji Grupy;</w:t>
      </w:r>
    </w:p>
    <w:p w:rsidR="00697FF6" w:rsidRPr="001766C0" w:rsidRDefault="00697FF6" w:rsidP="001766C0">
      <w:pPr>
        <w:pStyle w:val="Akapitzlist"/>
        <w:numPr>
          <w:ilvl w:val="1"/>
          <w:numId w:val="3"/>
        </w:numPr>
        <w:spacing w:line="276" w:lineRule="auto"/>
        <w:ind w:left="1276" w:hanging="567"/>
        <w:rPr>
          <w:sz w:val="24"/>
          <w:szCs w:val="24"/>
        </w:rPr>
      </w:pPr>
      <w:r w:rsidRPr="001766C0">
        <w:rPr>
          <w:sz w:val="24"/>
          <w:szCs w:val="24"/>
        </w:rPr>
        <w:t>zwiększono liczbę zatrudnionych w „spółce-matce” o kilkadziesiąt procent, bez widocznego uzasadnienia biznesowego;</w:t>
      </w:r>
    </w:p>
    <w:p w:rsidR="00697FF6" w:rsidRPr="001766C0" w:rsidRDefault="00697FF6" w:rsidP="001766C0">
      <w:pPr>
        <w:pStyle w:val="Akapitzlist"/>
        <w:numPr>
          <w:ilvl w:val="1"/>
          <w:numId w:val="3"/>
        </w:numPr>
        <w:spacing w:line="276" w:lineRule="auto"/>
        <w:ind w:left="1276" w:hanging="567"/>
        <w:rPr>
          <w:sz w:val="24"/>
          <w:szCs w:val="24"/>
        </w:rPr>
      </w:pPr>
      <w:r w:rsidRPr="001766C0">
        <w:rPr>
          <w:sz w:val="24"/>
          <w:szCs w:val="24"/>
        </w:rPr>
        <w:t>nie wypracowano standardów nadzoru właścicielskiego, opartych na stawianiu celów biznesowych do osiągniecia przez zarządy Grupy i spółek składowych;</w:t>
      </w:r>
    </w:p>
    <w:p w:rsidR="00585A71" w:rsidRPr="001766C0" w:rsidRDefault="00697FF6" w:rsidP="001766C0">
      <w:pPr>
        <w:pStyle w:val="Akapitzlist"/>
        <w:numPr>
          <w:ilvl w:val="1"/>
          <w:numId w:val="3"/>
        </w:numPr>
        <w:spacing w:line="276" w:lineRule="auto"/>
        <w:ind w:left="1276" w:hanging="567"/>
        <w:rPr>
          <w:sz w:val="24"/>
          <w:szCs w:val="24"/>
        </w:rPr>
      </w:pPr>
      <w:r w:rsidRPr="001766C0">
        <w:rPr>
          <w:sz w:val="24"/>
          <w:szCs w:val="24"/>
        </w:rPr>
        <w:t xml:space="preserve">doszło do </w:t>
      </w:r>
      <w:r w:rsidR="00585A71" w:rsidRPr="001766C0">
        <w:rPr>
          <w:sz w:val="24"/>
          <w:szCs w:val="24"/>
        </w:rPr>
        <w:t xml:space="preserve">licznych </w:t>
      </w:r>
      <w:r w:rsidRPr="001766C0">
        <w:rPr>
          <w:sz w:val="24"/>
          <w:szCs w:val="24"/>
        </w:rPr>
        <w:t>wymian kadry zarządczej</w:t>
      </w:r>
      <w:r w:rsidR="00585A71" w:rsidRPr="001766C0">
        <w:rPr>
          <w:sz w:val="24"/>
          <w:szCs w:val="24"/>
        </w:rPr>
        <w:t>, zarówno w centrali Grupy, jak i spółkach składowych;</w:t>
      </w:r>
    </w:p>
    <w:p w:rsidR="00585A71" w:rsidRPr="001766C0" w:rsidRDefault="00697FF6" w:rsidP="001766C0">
      <w:pPr>
        <w:pStyle w:val="Akapitzlist"/>
        <w:numPr>
          <w:ilvl w:val="1"/>
          <w:numId w:val="3"/>
        </w:numPr>
        <w:spacing w:line="276" w:lineRule="auto"/>
        <w:ind w:left="1276" w:hanging="567"/>
        <w:rPr>
          <w:sz w:val="24"/>
          <w:szCs w:val="24"/>
        </w:rPr>
      </w:pPr>
      <w:r w:rsidRPr="001766C0">
        <w:rPr>
          <w:sz w:val="24"/>
          <w:szCs w:val="24"/>
        </w:rPr>
        <w:t>zawarto kontrakt zbrojeniowy na artylerię dalekiego zasięgu („Homar”), który pomimo trwających dwa lata negocjacji (na linii PGZ – potencjalni wykonawcy), został podpisany z pominięciem spółek PGZ;</w:t>
      </w:r>
    </w:p>
    <w:p w:rsidR="00697FF6" w:rsidRPr="001766C0" w:rsidRDefault="00697FF6" w:rsidP="001766C0">
      <w:pPr>
        <w:pStyle w:val="Akapitzlist"/>
        <w:numPr>
          <w:ilvl w:val="1"/>
          <w:numId w:val="3"/>
        </w:numPr>
        <w:spacing w:line="276" w:lineRule="auto"/>
        <w:ind w:left="1276" w:hanging="567"/>
        <w:rPr>
          <w:sz w:val="24"/>
          <w:szCs w:val="24"/>
        </w:rPr>
      </w:pPr>
      <w:r w:rsidRPr="001766C0">
        <w:rPr>
          <w:sz w:val="24"/>
          <w:szCs w:val="24"/>
        </w:rPr>
        <w:t>nie ustalono stabilnych ram komunikacji między wojskiem i przemysłem obronnym (w tym PGZ), w wyniku czego przedsiębiorstwa nadal nie mają dostatecznej wiedzy o oczekiwaniach SZ RP;</w:t>
      </w:r>
    </w:p>
    <w:p w:rsidR="00697FF6" w:rsidRDefault="00697FF6" w:rsidP="001766C0">
      <w:pPr>
        <w:pStyle w:val="Akapitzlist"/>
        <w:numPr>
          <w:ilvl w:val="1"/>
          <w:numId w:val="3"/>
        </w:numPr>
        <w:spacing w:line="276" w:lineRule="auto"/>
        <w:ind w:left="1276" w:hanging="567"/>
        <w:rPr>
          <w:sz w:val="24"/>
          <w:szCs w:val="24"/>
        </w:rPr>
      </w:pPr>
      <w:r w:rsidRPr="001766C0">
        <w:rPr>
          <w:sz w:val="24"/>
          <w:szCs w:val="24"/>
        </w:rPr>
        <w:t xml:space="preserve">pomimo licznych zapowiedzi, nie utworzono Agencji Uzbrojenia, która na wzór izraelskiego </w:t>
      </w:r>
      <w:proofErr w:type="spellStart"/>
      <w:r w:rsidRPr="001766C0">
        <w:rPr>
          <w:sz w:val="24"/>
          <w:szCs w:val="24"/>
        </w:rPr>
        <w:t>Sibat</w:t>
      </w:r>
      <w:proofErr w:type="spellEnd"/>
      <w:r w:rsidRPr="001766C0">
        <w:rPr>
          <w:sz w:val="24"/>
          <w:szCs w:val="24"/>
        </w:rPr>
        <w:t xml:space="preserve"> i francuskiego DGA, miała aktywnie wspierać proces zakupowy i eksport uzbrojenia;</w:t>
      </w:r>
    </w:p>
    <w:p w:rsidR="001766C0" w:rsidRPr="001766C0" w:rsidRDefault="001766C0" w:rsidP="001766C0">
      <w:pPr>
        <w:pStyle w:val="Akapitzlist"/>
        <w:numPr>
          <w:ilvl w:val="1"/>
          <w:numId w:val="3"/>
        </w:numPr>
        <w:spacing w:line="276" w:lineRule="auto"/>
        <w:ind w:left="1276" w:hanging="567"/>
        <w:rPr>
          <w:sz w:val="24"/>
          <w:szCs w:val="24"/>
        </w:rPr>
      </w:pPr>
      <w:r w:rsidRPr="001766C0">
        <w:rPr>
          <w:sz w:val="24"/>
          <w:szCs w:val="24"/>
        </w:rPr>
        <w:lastRenderedPageBreak/>
        <w:t>nie wypracowano ram współpracy z innymi resortami i instytucjami, kluczowymi dla zwiększenia eksportu PGZ (np. z MSZ, resortem właściwym ds. gospodarki, PFR);</w:t>
      </w:r>
    </w:p>
    <w:p w:rsidR="001766C0" w:rsidRDefault="001766C0" w:rsidP="001766C0">
      <w:pPr>
        <w:spacing w:line="276" w:lineRule="auto"/>
        <w:rPr>
          <w:b/>
          <w:sz w:val="24"/>
          <w:szCs w:val="24"/>
        </w:rPr>
      </w:pPr>
    </w:p>
    <w:p w:rsidR="001766C0" w:rsidRPr="001766C0" w:rsidRDefault="001766C0" w:rsidP="001766C0">
      <w:pPr>
        <w:spacing w:line="276" w:lineRule="auto"/>
        <w:rPr>
          <w:b/>
          <w:sz w:val="24"/>
          <w:szCs w:val="24"/>
        </w:rPr>
      </w:pPr>
      <w:r w:rsidRPr="001766C0">
        <w:rPr>
          <w:b/>
          <w:sz w:val="24"/>
          <w:szCs w:val="24"/>
        </w:rPr>
        <w:t xml:space="preserve">Tabela </w:t>
      </w:r>
      <w:r w:rsidRPr="001766C0">
        <w:rPr>
          <w:b/>
          <w:sz w:val="24"/>
          <w:szCs w:val="24"/>
        </w:rPr>
        <w:fldChar w:fldCharType="begin"/>
      </w:r>
      <w:r w:rsidRPr="001766C0">
        <w:rPr>
          <w:b/>
          <w:sz w:val="24"/>
          <w:szCs w:val="24"/>
        </w:rPr>
        <w:instrText xml:space="preserve"> SEQ Tabela \* ARABIC </w:instrText>
      </w:r>
      <w:r w:rsidRPr="001766C0">
        <w:rPr>
          <w:b/>
          <w:sz w:val="24"/>
          <w:szCs w:val="24"/>
        </w:rPr>
        <w:fldChar w:fldCharType="separate"/>
      </w:r>
      <w:r w:rsidRPr="001766C0">
        <w:rPr>
          <w:b/>
          <w:noProof/>
          <w:sz w:val="24"/>
          <w:szCs w:val="24"/>
        </w:rPr>
        <w:t>1</w:t>
      </w:r>
      <w:r w:rsidRPr="001766C0">
        <w:rPr>
          <w:b/>
          <w:sz w:val="24"/>
          <w:szCs w:val="24"/>
        </w:rPr>
        <w:fldChar w:fldCharType="end"/>
      </w:r>
      <w:r w:rsidRPr="001766C0">
        <w:rPr>
          <w:b/>
          <w:sz w:val="24"/>
          <w:szCs w:val="24"/>
        </w:rPr>
        <w:t>. Odmienne model nadzoru właścicielskiego nad państwowymi spółkami przemysłu obronnego</w:t>
      </w:r>
    </w:p>
    <w:tbl>
      <w:tblPr>
        <w:tblpPr w:leftFromText="141" w:rightFromText="141" w:vertAnchor="page" w:horzAnchor="margin" w:tblpY="4270"/>
        <w:tblW w:w="9073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3024"/>
        <w:gridCol w:w="3024"/>
        <w:gridCol w:w="3025"/>
      </w:tblGrid>
      <w:tr w:rsidR="001766C0" w:rsidRPr="00697FF6" w:rsidTr="001766C0">
        <w:trPr>
          <w:trHeight w:val="1029"/>
        </w:trPr>
        <w:tc>
          <w:tcPr>
            <w:tcW w:w="3024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5B9BD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766C0" w:rsidRPr="001766C0" w:rsidRDefault="001766C0" w:rsidP="001766C0">
            <w:pPr>
              <w:ind w:left="284"/>
              <w:rPr>
                <w:b/>
                <w:sz w:val="24"/>
              </w:rPr>
            </w:pPr>
            <w:r w:rsidRPr="001766C0">
              <w:rPr>
                <w:b/>
                <w:sz w:val="24"/>
              </w:rPr>
              <w:t>Nadzór sprawowany przez resort gospodarki / finansów/ skarbu państwa / handlu</w:t>
            </w:r>
          </w:p>
        </w:tc>
        <w:tc>
          <w:tcPr>
            <w:tcW w:w="3024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5B9BD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766C0" w:rsidRPr="001766C0" w:rsidRDefault="001766C0" w:rsidP="001766C0">
            <w:pPr>
              <w:ind w:left="284"/>
              <w:rPr>
                <w:b/>
                <w:sz w:val="24"/>
              </w:rPr>
            </w:pPr>
            <w:r w:rsidRPr="001766C0">
              <w:rPr>
                <w:b/>
                <w:sz w:val="24"/>
              </w:rPr>
              <w:t>Nadzór sprawowany przez inny organ</w:t>
            </w:r>
          </w:p>
        </w:tc>
        <w:tc>
          <w:tcPr>
            <w:tcW w:w="3025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5B9BD5"/>
          </w:tcPr>
          <w:p w:rsidR="001766C0" w:rsidRPr="001766C0" w:rsidRDefault="001766C0" w:rsidP="001766C0">
            <w:pPr>
              <w:ind w:left="284"/>
              <w:rPr>
                <w:b/>
                <w:sz w:val="24"/>
              </w:rPr>
            </w:pPr>
            <w:r w:rsidRPr="001766C0">
              <w:rPr>
                <w:b/>
                <w:sz w:val="24"/>
              </w:rPr>
              <w:t>Nadzór sprawowany przez resort obrony</w:t>
            </w:r>
          </w:p>
        </w:tc>
      </w:tr>
      <w:tr w:rsidR="001766C0" w:rsidRPr="00697FF6" w:rsidTr="001766C0">
        <w:trPr>
          <w:trHeight w:val="1029"/>
        </w:trPr>
        <w:tc>
          <w:tcPr>
            <w:tcW w:w="3024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766C0" w:rsidRPr="001766C0" w:rsidRDefault="001766C0" w:rsidP="001766C0">
            <w:pPr>
              <w:ind w:left="284"/>
              <w:rPr>
                <w:sz w:val="24"/>
              </w:rPr>
            </w:pPr>
            <w:r w:rsidRPr="001766C0">
              <w:rPr>
                <w:sz w:val="24"/>
              </w:rPr>
              <w:t>Francja</w:t>
            </w:r>
          </w:p>
        </w:tc>
        <w:tc>
          <w:tcPr>
            <w:tcW w:w="3024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766C0" w:rsidRPr="001766C0" w:rsidRDefault="001766C0" w:rsidP="001766C0">
            <w:pPr>
              <w:ind w:left="284"/>
              <w:rPr>
                <w:sz w:val="24"/>
              </w:rPr>
            </w:pPr>
            <w:r w:rsidRPr="001766C0">
              <w:rPr>
                <w:sz w:val="24"/>
              </w:rPr>
              <w:t>Węgry (przez pełnomocnika premiera)</w:t>
            </w:r>
          </w:p>
        </w:tc>
        <w:tc>
          <w:tcPr>
            <w:tcW w:w="3025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</w:tcPr>
          <w:p w:rsidR="001766C0" w:rsidRPr="001766C0" w:rsidRDefault="001766C0" w:rsidP="001766C0">
            <w:pPr>
              <w:ind w:left="284"/>
              <w:rPr>
                <w:sz w:val="24"/>
              </w:rPr>
            </w:pPr>
            <w:r w:rsidRPr="001766C0">
              <w:rPr>
                <w:sz w:val="24"/>
              </w:rPr>
              <w:t>Indie</w:t>
            </w:r>
          </w:p>
        </w:tc>
      </w:tr>
      <w:tr w:rsidR="001766C0" w:rsidRPr="00697FF6" w:rsidTr="001766C0">
        <w:trPr>
          <w:trHeight w:val="1029"/>
        </w:trPr>
        <w:tc>
          <w:tcPr>
            <w:tcW w:w="302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766C0" w:rsidRPr="001766C0" w:rsidRDefault="001766C0" w:rsidP="001766C0">
            <w:pPr>
              <w:ind w:left="284"/>
              <w:rPr>
                <w:sz w:val="24"/>
              </w:rPr>
            </w:pPr>
            <w:r w:rsidRPr="001766C0">
              <w:rPr>
                <w:sz w:val="24"/>
              </w:rPr>
              <w:t>Izrael</w:t>
            </w:r>
          </w:p>
        </w:tc>
        <w:tc>
          <w:tcPr>
            <w:tcW w:w="302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766C0" w:rsidRPr="001766C0" w:rsidRDefault="001766C0" w:rsidP="001766C0">
            <w:pPr>
              <w:ind w:left="284"/>
              <w:rPr>
                <w:sz w:val="24"/>
              </w:rPr>
            </w:pPr>
            <w:r w:rsidRPr="001766C0">
              <w:rPr>
                <w:sz w:val="24"/>
              </w:rPr>
              <w:t>Turcja (przez organ podległy prezydentowi)</w:t>
            </w:r>
          </w:p>
        </w:tc>
        <w:tc>
          <w:tcPr>
            <w:tcW w:w="302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</w:tcPr>
          <w:p w:rsidR="001766C0" w:rsidRPr="001766C0" w:rsidRDefault="001766C0" w:rsidP="001766C0">
            <w:pPr>
              <w:ind w:left="284"/>
              <w:rPr>
                <w:sz w:val="24"/>
              </w:rPr>
            </w:pPr>
            <w:r w:rsidRPr="001766C0">
              <w:rPr>
                <w:sz w:val="24"/>
              </w:rPr>
              <w:t>Kolumbia</w:t>
            </w:r>
          </w:p>
        </w:tc>
      </w:tr>
      <w:tr w:rsidR="001766C0" w:rsidRPr="00697FF6" w:rsidTr="001766C0">
        <w:trPr>
          <w:trHeight w:val="1029"/>
        </w:trPr>
        <w:tc>
          <w:tcPr>
            <w:tcW w:w="302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766C0" w:rsidRPr="001766C0" w:rsidRDefault="001766C0" w:rsidP="001766C0">
            <w:pPr>
              <w:ind w:left="284"/>
              <w:rPr>
                <w:sz w:val="24"/>
              </w:rPr>
            </w:pPr>
            <w:r w:rsidRPr="001766C0">
              <w:rPr>
                <w:sz w:val="24"/>
              </w:rPr>
              <w:t>Norwegia</w:t>
            </w:r>
          </w:p>
        </w:tc>
        <w:tc>
          <w:tcPr>
            <w:tcW w:w="302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766C0" w:rsidRPr="001766C0" w:rsidRDefault="001766C0" w:rsidP="001766C0">
            <w:pPr>
              <w:ind w:left="284"/>
              <w:rPr>
                <w:sz w:val="24"/>
              </w:rPr>
            </w:pPr>
            <w:r w:rsidRPr="001766C0">
              <w:rPr>
                <w:sz w:val="24"/>
              </w:rPr>
              <w:t>Rosja (przez organ kolegialny podległy prezydentowi)</w:t>
            </w:r>
          </w:p>
        </w:tc>
        <w:tc>
          <w:tcPr>
            <w:tcW w:w="302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</w:tcPr>
          <w:p w:rsidR="001766C0" w:rsidRPr="001766C0" w:rsidRDefault="001766C0" w:rsidP="001766C0">
            <w:pPr>
              <w:ind w:left="284"/>
              <w:rPr>
                <w:sz w:val="24"/>
              </w:rPr>
            </w:pPr>
          </w:p>
        </w:tc>
      </w:tr>
      <w:tr w:rsidR="001766C0" w:rsidRPr="00697FF6" w:rsidTr="001766C0">
        <w:trPr>
          <w:trHeight w:val="1029"/>
        </w:trPr>
        <w:tc>
          <w:tcPr>
            <w:tcW w:w="302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766C0" w:rsidRPr="001766C0" w:rsidRDefault="001766C0" w:rsidP="001766C0">
            <w:pPr>
              <w:ind w:left="284"/>
              <w:rPr>
                <w:sz w:val="24"/>
              </w:rPr>
            </w:pPr>
            <w:r w:rsidRPr="001766C0">
              <w:rPr>
                <w:sz w:val="24"/>
              </w:rPr>
              <w:t>Hiszpania</w:t>
            </w:r>
          </w:p>
        </w:tc>
        <w:tc>
          <w:tcPr>
            <w:tcW w:w="302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766C0" w:rsidRPr="001766C0" w:rsidRDefault="001766C0" w:rsidP="001766C0">
            <w:pPr>
              <w:ind w:left="284"/>
              <w:rPr>
                <w:sz w:val="24"/>
              </w:rPr>
            </w:pPr>
          </w:p>
        </w:tc>
        <w:tc>
          <w:tcPr>
            <w:tcW w:w="302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</w:tcPr>
          <w:p w:rsidR="001766C0" w:rsidRPr="001766C0" w:rsidRDefault="001766C0" w:rsidP="001766C0">
            <w:pPr>
              <w:ind w:left="284"/>
              <w:rPr>
                <w:sz w:val="24"/>
              </w:rPr>
            </w:pPr>
          </w:p>
        </w:tc>
      </w:tr>
      <w:tr w:rsidR="001766C0" w:rsidRPr="00697FF6" w:rsidTr="001766C0">
        <w:trPr>
          <w:trHeight w:val="1029"/>
        </w:trPr>
        <w:tc>
          <w:tcPr>
            <w:tcW w:w="302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766C0" w:rsidRPr="001766C0" w:rsidRDefault="001766C0" w:rsidP="001766C0">
            <w:pPr>
              <w:ind w:left="284"/>
              <w:rPr>
                <w:sz w:val="24"/>
              </w:rPr>
            </w:pPr>
            <w:r w:rsidRPr="001766C0">
              <w:rPr>
                <w:sz w:val="24"/>
              </w:rPr>
              <w:t>Włochy</w:t>
            </w:r>
          </w:p>
        </w:tc>
        <w:tc>
          <w:tcPr>
            <w:tcW w:w="302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766C0" w:rsidRPr="001766C0" w:rsidRDefault="001766C0" w:rsidP="001766C0">
            <w:pPr>
              <w:ind w:left="284"/>
              <w:rPr>
                <w:sz w:val="24"/>
              </w:rPr>
            </w:pPr>
          </w:p>
        </w:tc>
        <w:tc>
          <w:tcPr>
            <w:tcW w:w="302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</w:tcPr>
          <w:p w:rsidR="001766C0" w:rsidRPr="001766C0" w:rsidRDefault="001766C0" w:rsidP="001766C0">
            <w:pPr>
              <w:ind w:left="284"/>
              <w:rPr>
                <w:sz w:val="24"/>
              </w:rPr>
            </w:pPr>
          </w:p>
        </w:tc>
      </w:tr>
    </w:tbl>
    <w:p w:rsidR="001766C0" w:rsidRPr="001766C0" w:rsidRDefault="001766C0" w:rsidP="001766C0">
      <w:pPr>
        <w:spacing w:line="276" w:lineRule="auto"/>
        <w:rPr>
          <w:sz w:val="24"/>
          <w:szCs w:val="24"/>
        </w:rPr>
      </w:pPr>
    </w:p>
    <w:p w:rsidR="00585A71" w:rsidRPr="00585A71" w:rsidRDefault="00585A71" w:rsidP="001766C0">
      <w:pPr>
        <w:ind w:left="284"/>
      </w:pPr>
    </w:p>
    <w:p w:rsidR="007A10C4" w:rsidRDefault="007A10C4" w:rsidP="001766C0">
      <w:pPr>
        <w:ind w:left="284"/>
        <w:rPr>
          <w:b/>
        </w:rPr>
      </w:pPr>
    </w:p>
    <w:sectPr w:rsidR="007A10C4" w:rsidSect="001766C0">
      <w:footerReference w:type="default" r:id="rId7"/>
      <w:pgSz w:w="11906" w:h="16838"/>
      <w:pgMar w:top="1702" w:right="1558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10C4" w:rsidRDefault="007A10C4" w:rsidP="007A10C4">
      <w:pPr>
        <w:spacing w:after="0" w:line="240" w:lineRule="auto"/>
      </w:pPr>
      <w:r>
        <w:separator/>
      </w:r>
    </w:p>
  </w:endnote>
  <w:endnote w:type="continuationSeparator" w:id="0">
    <w:p w:rsidR="007A10C4" w:rsidRDefault="007A10C4" w:rsidP="007A10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86655683"/>
      <w:docPartObj>
        <w:docPartGallery w:val="Page Numbers (Bottom of Page)"/>
        <w:docPartUnique/>
      </w:docPartObj>
    </w:sdtPr>
    <w:sdtEndPr/>
    <w:sdtContent>
      <w:p w:rsidR="001766C0" w:rsidRDefault="001766C0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54914">
          <w:rPr>
            <w:noProof/>
          </w:rPr>
          <w:t>2</w:t>
        </w:r>
        <w:r>
          <w:fldChar w:fldCharType="end"/>
        </w:r>
      </w:p>
    </w:sdtContent>
  </w:sdt>
  <w:p w:rsidR="001766C0" w:rsidRDefault="001766C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10C4" w:rsidRDefault="007A10C4" w:rsidP="007A10C4">
      <w:pPr>
        <w:spacing w:after="0" w:line="240" w:lineRule="auto"/>
      </w:pPr>
      <w:r>
        <w:separator/>
      </w:r>
    </w:p>
  </w:footnote>
  <w:footnote w:type="continuationSeparator" w:id="0">
    <w:p w:rsidR="007A10C4" w:rsidRDefault="007A10C4" w:rsidP="007A10C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4E0AB9"/>
    <w:multiLevelType w:val="hybridMultilevel"/>
    <w:tmpl w:val="362A56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DE375CD"/>
    <w:multiLevelType w:val="hybridMultilevel"/>
    <w:tmpl w:val="2CD0AEF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8C123E3"/>
    <w:multiLevelType w:val="hybridMultilevel"/>
    <w:tmpl w:val="F376AE1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4756"/>
    <w:rsid w:val="00154914"/>
    <w:rsid w:val="001766C0"/>
    <w:rsid w:val="00442159"/>
    <w:rsid w:val="00585A71"/>
    <w:rsid w:val="00697FF6"/>
    <w:rsid w:val="007A10C4"/>
    <w:rsid w:val="00C84756"/>
    <w:rsid w:val="00FE54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24AFDF"/>
  <w15:chartTrackingRefBased/>
  <w15:docId w15:val="{4099DD04-E4BF-48F7-A087-52C056D76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A10C4"/>
    <w:pPr>
      <w:ind w:left="720"/>
      <w:contextualSpacing/>
    </w:pPr>
  </w:style>
  <w:style w:type="paragraph" w:styleId="Legenda">
    <w:name w:val="caption"/>
    <w:basedOn w:val="Normalny"/>
    <w:next w:val="Normalny"/>
    <w:uiPriority w:val="35"/>
    <w:unhideWhenUsed/>
    <w:qFormat/>
    <w:rsid w:val="007A10C4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A10C4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A10C4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A10C4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766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766C0"/>
  </w:style>
  <w:style w:type="paragraph" w:styleId="Stopka">
    <w:name w:val="footer"/>
    <w:basedOn w:val="Normalny"/>
    <w:link w:val="StopkaZnak"/>
    <w:uiPriority w:val="99"/>
    <w:unhideWhenUsed/>
    <w:rsid w:val="001766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766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907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453</Words>
  <Characters>2719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Woyke Piotr</dc:creator>
  <cp:keywords/>
  <dc:description/>
  <cp:lastModifiedBy>Woyke Piotr</cp:lastModifiedBy>
  <cp:revision>3</cp:revision>
  <dcterms:created xsi:type="dcterms:W3CDTF">2020-12-16T10:37:00Z</dcterms:created>
  <dcterms:modified xsi:type="dcterms:W3CDTF">2020-12-16T11:12:00Z</dcterms:modified>
</cp:coreProperties>
</file>